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물품공급 계약서(자재포함 외주) (A-1)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물품공급(제조납품) 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이하 명시된 건설현장에 소요되는 강구조물 부재의 제조 및 납품에 대하여 매수인(이하 "甲") O O O O (주)과 매도인(이하 "乙") O O O O (주)는 첨부된 '물품공급 일반조건'에 의하여 신의성실의 원칙에 따라 매매(납품) 계약을 체결하고, 이를 증명하기 위하여 본 계약서 2부를 작성하여 기명날인 후 각각 1부씩 보관한다.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발 주 번 호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OOOOO-OO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계 약 일 자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납 품 현 장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[목적지 현장명 기재]</w:t>
            </w:r>
          </w:p>
        </w:tc>
      </w:tr>
      <w:tr>
        <w:tc>
          <w:tcPr>
            <w:tcW w:type="dxa" w:w="4320"/>
            <w:vMerge w:val="restart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계 약 금 액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(공급가액: ₩O,OOO,OOO)</w:t>
            </w:r>
          </w:p>
        </w:tc>
      </w:tr>
      <w:tr>
        <w:tc>
          <w:tcPr>
            <w:tcW w:type="dxa" w:w="4320"/>
            <w:vMerge/>
          </w:tcPr>
          <w:p/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(부가세액: ₩ O,OOO)</w:t>
            </w:r>
          </w:p>
        </w:tc>
      </w:tr>
      <w:tr>
        <w:tc>
          <w:tcPr>
            <w:tcW w:type="dxa" w:w="4320"/>
            <w:vMerge/>
          </w:tcPr>
          <w:p/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(합계: ₩O,OOO,OOO)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대금지불방법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현금 (월 O회 납품 기성(월말기준 작성), 익월 OO일 기성지급)</w:t>
              <w:br/>
              <w:t>※ 세금계산서 청구 품목명: "강구조물 자재비 및 제조납품비" 한정 (시공/설치 단어 사용 절대 불가)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6. 계 약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202X년 X월 X일 (분할 납품 일정은 Shop DWG 승인 후 별도 협의)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7. 세 부 내 역</w:t>
              <w:br/>
              <w:t>(특약 사항)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1) 계약 물량 및 단가: [품목별 단가표 참조]</w:t>
              <w:br/>
              <w:t>2) 본 납품 총액에는 원자재대금, 공장가공 조립비, 도장비, 검사비, 목적 현장까지의 운반비 일체가 포함됨.</w:t>
              <w:br/>
              <w:t>3) 본 계약은 실질적 건자재 매매(물품 제조납품)이며, 매도인은 어떠한 현장 내 설치(시공)에도 참여하지 않는다. (일반조건 제2조 참조)</w:t>
              <w:br/>
              <w:t>4) 하자보증금률: O% (하자담보기간: O년. 현금 유보 또는 보증증권 대체 가능)</w:t>
              <w:br/>
              <w:t>5) 지체상금률: 1일당 납품 총액의 O.O% (총액의 10% 한도)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8. 첨 부 서 류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1) 품목별 단가표 1매</w:t>
              <w:br/>
              <w:t>2) (필요시) 도면 및 규격서 1부</w:t>
              <w:br/>
              <w:t>3) 물품공급(제조납품) 일반조건 1부 (본 표지 이면 첨부)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[매수인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[매도인 / 乙]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[첨부] 물품공급(제조납품) 일반조건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 및 효력)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일반조건은 앞면 표지에 명시된 매수인("甲")이 발주한 건설현장 소요 자재를 매도인("乙")이 공장에서 원자재 공급부터 가공, 운반까지 수행하여 제조·납품하는 순수 물품공급 계약의 조건을 규정한다. 표지와 본 일반조건은 일체가 되어 계약서 효력을 가지며, 본 계약의 부속 서류로서 도면 외 입찰조건, 발주서, 규격 서류, 납품 시 거래명세서 등 상호 합의된 서류들은 본 계약서와 동일한 효력을 가진다.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(납품의 범위 및 시공행위 절대 배제)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"甲"이 서면으로 제공하는 설계도서에 따라 자사 공장에서 자재를 확보, 절단, 용접, 조립, 방청도장한 후 납기일 내에 "甲"의 목적 건설현장 내 지정 장소에 하차 및 인도하는 것으로써 본 계약상의 모든 의무를 다한다.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납품 완료 후 당해 건설현장 내부에서의 철골 세우기(Erection), 데크플레이트 시공, 볼팅, 마감 현장용접 등 어떠한 설치 및 건설 시공 행위에도 일절 관여하지 아니한다.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본 계약의 실질은 순수한 물품 [제조·납품계약]이며, 건설산업기본법에 의한 [건설공사의 하도급계약]이 아님을 상호 간에 강력히 확인한다. 본 물품의 현장 시공은 전적으로 "甲"의 소속 직영 인력 및 별도 장비 업체 구성을 통해 "甲"의 비용과 책임으로 수행한다.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(샵드로잉 승인 및 공장 입회검사)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제작 착수 전 샵드로잉(Shop Drawing)을 "甲"에게 제출하여 서면 승인을 받아야 하며, 미승인 상태로 제작에 착수한 부분의 하자는 "乙"이 전적으로 부담한다.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"甲"은 납품 전 "乙"의 제작공장에 입회하여 중간검사(치수, 용접, 도장 등)를 실시할 수 있으며, "乙"은 이에 적극 협조하여야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"乙"은 원자재 투입 시 밀시트(Mill Certificate) 및 자재시험성적서를 "甲"에게 제출하여야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(지체상금 및 대체 납품 계약)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"乙"의 귀책사유로 납품기일이 지연될 경우, 표지에 명시된 지체상금률에 해당하는 지체상금을 "甲"에게 지급한다. 단, 지체상금의 누적 총액은 표지에 명시된 한도액을 초과할 수 없다.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"乙"의 고의 지연이나 품질 불량으로 계약 해지가 불가피할 경우, "甲"은 통보 후 즉시 제3자와 '대체 납품 계약'을 체결할 수 있고, 이로 인해 "甲"이 추가로 지출한 실 손해액 및 초과 비용 전액을 "乙"이 부담한다.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제5조 (계약금액 및 지급방법)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대금의 지급조건, 하자보증금 유보 및 보호담보 기간 등 대금 지급에 관한 제반 세부 사항은 공히 표지에 명시된 바에 따르며, 표지에 기재되지 않은 사항은 상호 협의에 따른다.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제6조 (검수 및 하자보증)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납품 즉시 "甲"은 외관, 치수, 수량에 대해 검수를 실시한다. 하자 발견 시 "乙"은 통보 후 14일 이내에 재제작·교환 납품한다.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하자담보책임기간은 납품 완료일로부터 1년으로 하며, 공장 제작 결함에 한해 "乙"이 무상 교환 또는 수리한다. 납품 이후 현장 설치 과정에서 "甲" 측 부주의로 발생한 하자는 "乙"의 책임에서 면제된다.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제7조 (위험의 이전상태)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납품 물품의 위험(멸실·훼손)은 현장 하역 및 인도 완료 승인 전까지 "乙"에게, 인도 완료 후부터 "甲"에게 각각 귀속한다.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제8조 (계약의 해제 및 해지)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다음 각 호의 어느 하나에 해당하는 경우, 당사자 일방은 최고 없이 즉시 본 계약의 전부 또는 일부를 해제 또는 해지할 수 있으며, 이와 관련해 발생한 실 손해액의 배상을 상대방에게 청구할 수 있다.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1. "乙"이 정당한 사유 없이 고의로 제작에 착수하지 않거나 지정 납기를 현격히 초과하여 "甲"의 공정에 중대한 차질을 빚게 한 경우.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2. 어느 일방이 어음이나 수표의 부도, 파산 신청, 회생절차 개시, 주요 자산의 가압류 등으로 인하여 계약 목적을 도저히 달성할 수 없다고 명백히 인정되는 경우.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3. 납품 품질 불량이 상시 반복적으로 발생하여 시정 통보서가 3회 이상 발부되었음에도 개선의 여지가 없는 경우.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계약이 해제 또는 해지된 경우, 기지급된 대금 및 미인도 물품에 대해서는 쌍방이 협의하여 지체 없이 정산하고, 각 당사자는 상대방에게 원상회복 의무를 부담한다.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제9조 (불가항력)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천재지변, 전쟁, 내란, 감염병의 대유행, 법령의 개폐 기타 당사자의 합리적 통제 범위를 벗어나는 사유(불가항력)로 인하여 계약의 이행이 지연 또는 불가능하게 된 경우, 해당 당사자는 상대방에 대한 지체상금 및 손해배상 책임을 면하되, 지체 없이 상대방에게 그 사실을 서면으로 통지하여야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제10조 (권리·의무의 양도 금지)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어느 일방 당사자도 상대방의 사전 서면 동의 없이 본 계약상의 권리 또는 의무의 전부 또는 일부를 제3자에게 양도하거나 담보로 제공할 수 없다.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제11조 (관할 법원)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계약과 관련하여 양 당사자 간에 분쟁이 발생한 경우에는 상호 협의를 통해 원만히 해결하되, 협의가 이루어지지 아니하는 경우 "甲"의 본점 소재지를 관할하는 지방법원을 제1심 전속적 합의관할법원으로 정한다.</w:t>
      </w:r>
    </w:p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지침: 세금계산서 품목에 "OO공사 철골 설치비"라고 끊으면 건산법 위반의 불법하도급 서류 조작 증거로 가중처벌 대상이 됩니다. 반드시 "강구조물 자재비 및 제조납품비"로 기재하십시오. 또한 Shop DWG 미승인 제작분은 하자 분쟁 시 "매도인" 100% 부담이므로, 반드시 서면 승인 프로세스를 준수하시기 바랍니다. 📌 원가 분류 및 대금 청구 시 유의사항 (A-1):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원자재+가공+운반 일체 포함 완성품 매매 → 자재비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노무비·장비비·기타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물품 매매이므로 해당 없음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노무비닷컴, 하도급지킴이 등에서 대금 청구 시 "자재비"로 분류하십시오. 세금계산서 품목: "강구조물 자재비 및 제조납품비". 매수인이 원자재를 직접 제공(사급)하는 경우에는 별도 양식 A-2를 사용하십시오.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