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rFonts w:ascii="나눔고딕" w:hAnsi="나눔고딕" w:eastAsia="나눔고딕"/>
          <w:b/>
          <w:sz w:val="32"/>
        </w:rPr>
        <w:t>외주 사급가공 계약서(자재 사급 외주) (A-2)</w:t>
      </w:r>
    </w:p>
    <w:p>
      <w:pPr>
        <w:spacing w:after="40" w:line="320" w:lineRule="exact"/>
      </w:pPr>
      <w:r>
        <w:rPr>
          <w:rFonts w:ascii="나눔고딕" w:hAnsi="나눔고딕" w:eastAsia="나눔고딕"/>
          <w:b w:val="0"/>
          <w:sz w:val="20"/>
        </w:rPr>
        <w:t>외주가공(제조위탁) 계약서</w:t>
      </w:r>
    </w:p>
    <w:p>
      <w:pPr>
        <w:spacing w:after="40" w:line="320" w:lineRule="exact"/>
      </w:pPr>
    </w:p>
    <w:p>
      <w:pPr>
        <w:spacing w:after="40" w:line="320" w:lineRule="exact"/>
      </w:pPr>
      <w:r>
        <w:rPr>
          <w:rFonts w:ascii="나눔고딕" w:hAnsi="나눔고딕" w:eastAsia="나눔고딕"/>
          <w:b w:val="0"/>
          <w:sz w:val="20"/>
        </w:rPr>
        <w:t>본 강구조물 부재 제조위탁 업무에 대하여 위탁자(이하 "甲") O O O O (주)과 수탁자(이하 "乙") O O O O (주)는 첨부된 '외주가공(제조위탁) 일반조건'에 의하여 신의성실의 원칙에 따라 계약을 체결하고, 이를 증명하기 위하여 본 계약서 2부를 작성하여 기명날인 후 각각 1부씩 보관한다.</w:t>
      </w:r>
    </w:p>
    <w:tbl>
      <w:tblPr>
        <w:tblStyle w:val="TableGrid"/>
        <w:tblW w:type="auto" w:w="0"/>
        <w:tblLook w:firstColumn="1" w:firstRow="1" w:lastColumn="0" w:lastRow="0" w:noHBand="0" w:noVBand="1" w:val="04A0"/>
      </w:tblPr>
      <w:tblGrid>
        <w:gridCol w:w="4320"/>
        <w:gridCol w:w="4320"/>
      </w:tblGrid>
      <w:tr>
        <w:tc>
          <w:tcPr>
            <w:tcW w:type="dxa" w:w="4320"/>
            <w:vAlign w:val="top"/>
          </w:tcPr>
          <w:p>
            <w:pPr>
              <w:jc w:val="center"/>
            </w:pPr>
            <w:r/>
            <w:r>
              <w:rPr>
                <w:rFonts w:ascii="나눔고딕" w:hAnsi="나눔고딕" w:eastAsia="나눔고딕"/>
                <w:b/>
                <w:sz w:val="18"/>
              </w:rPr>
              <w:t>1. 발 주 번 호</w:t>
            </w:r>
          </w:p>
        </w:tc>
        <w:tc>
          <w:tcPr>
            <w:tcW w:type="dxa" w:w="4320"/>
            <w:vAlign w:val="top"/>
          </w:tcPr>
          <w:p>
            <w:r/>
            <w:r>
              <w:rPr>
                <w:rFonts w:ascii="나눔고딕" w:hAnsi="나눔고딕" w:eastAsia="나눔고딕"/>
                <w:b w:val="0"/>
                <w:sz w:val="18"/>
              </w:rPr>
              <w:t>[ OOOOO-OO ]</w:t>
            </w:r>
          </w:p>
        </w:tc>
      </w:tr>
      <w:tr>
        <w:tc>
          <w:tcPr>
            <w:tcW w:type="dxa" w:w="4320"/>
            <w:vAlign w:val="top"/>
          </w:tcPr>
          <w:p>
            <w:pPr>
              <w:jc w:val="center"/>
            </w:pPr>
            <w:r/>
            <w:r>
              <w:rPr>
                <w:rFonts w:ascii="나눔고딕" w:hAnsi="나눔고딕" w:eastAsia="나눔고딕"/>
                <w:b/>
                <w:sz w:val="18"/>
              </w:rPr>
              <w:t>2. 계 약 일 자</w:t>
            </w:r>
          </w:p>
        </w:tc>
        <w:tc>
          <w:tcPr>
            <w:tcW w:type="dxa" w:w="4320"/>
            <w:vAlign w:val="top"/>
          </w:tcPr>
          <w:p>
            <w:r/>
            <w:r>
              <w:rPr>
                <w:rFonts w:ascii="나눔고딕" w:hAnsi="나눔고딕" w:eastAsia="나눔고딕"/>
                <w:b w:val="0"/>
                <w:sz w:val="18"/>
              </w:rPr>
              <w:t>202X년 X월 X일</w:t>
            </w:r>
          </w:p>
        </w:tc>
      </w:tr>
      <w:tr>
        <w:tc>
          <w:tcPr>
            <w:tcW w:type="dxa" w:w="4320"/>
            <w:vAlign w:val="top"/>
          </w:tcPr>
          <w:p>
            <w:pPr>
              <w:jc w:val="center"/>
            </w:pPr>
            <w:r/>
            <w:r>
              <w:rPr>
                <w:rFonts w:ascii="나눔고딕" w:hAnsi="나눔고딕" w:eastAsia="나눔고딕"/>
                <w:b/>
                <w:sz w:val="18"/>
              </w:rPr>
              <w:t>3. 납 품 현 장</w:t>
            </w:r>
          </w:p>
        </w:tc>
        <w:tc>
          <w:tcPr>
            <w:tcW w:type="dxa" w:w="4320"/>
            <w:vAlign w:val="top"/>
          </w:tcPr>
          <w:p>
            <w:r/>
            <w:r>
              <w:rPr>
                <w:rFonts w:ascii="나눔고딕" w:hAnsi="나눔고딕" w:eastAsia="나눔고딕"/>
                <w:b w:val="0"/>
                <w:sz w:val="18"/>
              </w:rPr>
              <w:t>[건설현장이 아닌 공사명 기재]</w:t>
            </w:r>
          </w:p>
        </w:tc>
      </w:tr>
      <w:tr>
        <w:tc>
          <w:tcPr>
            <w:tcW w:type="dxa" w:w="4320"/>
            <w:vMerge w:val="restart"/>
            <w:vAlign w:val="top"/>
          </w:tcPr>
          <w:p>
            <w:pPr>
              <w:jc w:val="center"/>
            </w:pPr>
            <w:r/>
            <w:r>
              <w:rPr>
                <w:rFonts w:ascii="나눔고딕" w:hAnsi="나눔고딕" w:eastAsia="나눔고딕"/>
                <w:b/>
                <w:sz w:val="18"/>
              </w:rPr>
              <w:t>4. 계 약 금 액</w:t>
            </w:r>
          </w:p>
        </w:tc>
        <w:tc>
          <w:tcPr>
            <w:tcW w:type="dxa" w:w="4320"/>
            <w:vAlign w:val="top"/>
          </w:tcPr>
          <w:p>
            <w:r/>
            <w:r>
              <w:rPr>
                <w:rFonts w:ascii="나눔고딕" w:hAnsi="나눔고딕" w:eastAsia="나눔고딕"/>
                <w:b w:val="0"/>
                <w:sz w:val="18"/>
              </w:rPr>
              <w:t>일금 O O O O O원정 (공급가액: ₩O,OOO,OOO)</w:t>
            </w:r>
          </w:p>
        </w:tc>
      </w:tr>
      <w:tr>
        <w:tc>
          <w:tcPr>
            <w:tcW w:type="dxa" w:w="4320"/>
            <w:vMerge/>
          </w:tcPr>
          <w:p/>
        </w:tc>
        <w:tc>
          <w:tcPr>
            <w:tcW w:type="dxa" w:w="4320"/>
            <w:vAlign w:val="top"/>
          </w:tcPr>
          <w:p>
            <w:r/>
            <w:r>
              <w:rPr>
                <w:rFonts w:ascii="나눔고딕" w:hAnsi="나눔고딕" w:eastAsia="나눔고딕"/>
                <w:b w:val="0"/>
                <w:sz w:val="18"/>
              </w:rPr>
              <w:t>일금 O O O O O원정 (부가세액: ₩ O,OOO)</w:t>
            </w:r>
          </w:p>
        </w:tc>
      </w:tr>
      <w:tr>
        <w:tc>
          <w:tcPr>
            <w:tcW w:type="dxa" w:w="4320"/>
            <w:vMerge/>
          </w:tcPr>
          <w:p/>
        </w:tc>
        <w:tc>
          <w:tcPr>
            <w:tcW w:type="dxa" w:w="4320"/>
            <w:vAlign w:val="top"/>
          </w:tcPr>
          <w:p>
            <w:r/>
            <w:r>
              <w:rPr>
                <w:rFonts w:ascii="나눔고딕" w:hAnsi="나눔고딕" w:eastAsia="나눔고딕"/>
                <w:b w:val="0"/>
                <w:sz w:val="18"/>
              </w:rPr>
              <w:t>일금 O O O O O원정 (합계: ₩O,OOO,OOO)</w:t>
            </w:r>
          </w:p>
        </w:tc>
      </w:tr>
      <w:tr>
        <w:tc>
          <w:tcPr>
            <w:tcW w:type="dxa" w:w="4320"/>
            <w:vAlign w:val="top"/>
          </w:tcPr>
          <w:p>
            <w:pPr>
              <w:jc w:val="center"/>
            </w:pPr>
            <w:r/>
            <w:r>
              <w:rPr>
                <w:rFonts w:ascii="나눔고딕" w:hAnsi="나눔고딕" w:eastAsia="나눔고딕"/>
                <w:b/>
                <w:sz w:val="18"/>
              </w:rPr>
              <w:t>5. 대금지불방법</w:t>
            </w:r>
          </w:p>
        </w:tc>
        <w:tc>
          <w:tcPr>
            <w:tcW w:type="dxa" w:w="4320"/>
            <w:vAlign w:val="top"/>
          </w:tcPr>
          <w:p>
            <w:r/>
            <w:r>
              <w:rPr>
                <w:rFonts w:ascii="나눔고딕" w:hAnsi="나눔고딕" w:eastAsia="나눔고딕"/>
                <w:b w:val="0"/>
                <w:sz w:val="18"/>
              </w:rPr>
              <w:t>현금 (월 O회 기성(월말기준 작성), 익월 OO일 기성지급)</w:t>
              <w:br/>
              <w:t>※ 세금계산서 청구 품목명: "강구조물 외주가공비" 한정 (시공/설치 단어 사용 절대 불가)</w:t>
            </w:r>
          </w:p>
        </w:tc>
      </w:tr>
      <w:tr>
        <w:tc>
          <w:tcPr>
            <w:tcW w:type="dxa" w:w="4320"/>
            <w:vAlign w:val="top"/>
          </w:tcPr>
          <w:p>
            <w:pPr>
              <w:jc w:val="center"/>
            </w:pPr>
            <w:r/>
            <w:r>
              <w:rPr>
                <w:rFonts w:ascii="나눔고딕" w:hAnsi="나눔고딕" w:eastAsia="나눔고딕"/>
                <w:b/>
                <w:sz w:val="18"/>
              </w:rPr>
              <w:t>6. 계 약 기 간</w:t>
            </w:r>
          </w:p>
        </w:tc>
        <w:tc>
          <w:tcPr>
            <w:tcW w:type="dxa" w:w="4320"/>
            <w:vAlign w:val="top"/>
          </w:tcPr>
          <w:p>
            <w:r/>
            <w:r>
              <w:rPr>
                <w:rFonts w:ascii="나눔고딕" w:hAnsi="나눔고딕" w:eastAsia="나눔고딕"/>
                <w:b w:val="0"/>
                <w:sz w:val="18"/>
              </w:rPr>
              <w:t>202X년 X월 X일 ~ 202X년 X월 X일</w:t>
            </w:r>
          </w:p>
        </w:tc>
      </w:tr>
      <w:tr>
        <w:tc>
          <w:tcPr>
            <w:tcW w:type="dxa" w:w="4320"/>
            <w:vAlign w:val="top"/>
          </w:tcPr>
          <w:p>
            <w:pPr>
              <w:jc w:val="center"/>
            </w:pPr>
            <w:r/>
            <w:r>
              <w:rPr>
                <w:rFonts w:ascii="나눔고딕" w:hAnsi="나눔고딕" w:eastAsia="나눔고딕"/>
                <w:b/>
                <w:sz w:val="18"/>
              </w:rPr>
              <w:t>7. 세 부 내 역</w:t>
              <w:br/>
              <w:t>(특약 사항)</w:t>
            </w:r>
          </w:p>
        </w:tc>
        <w:tc>
          <w:tcPr>
            <w:tcW w:type="dxa" w:w="4320"/>
            <w:vAlign w:val="top"/>
          </w:tcPr>
          <w:p>
            <w:r/>
            <w:r>
              <w:rPr>
                <w:rFonts w:ascii="나눔고딕" w:hAnsi="나눔고딕" w:eastAsia="나눔고딕"/>
                <w:b w:val="0"/>
                <w:sz w:val="18"/>
              </w:rPr>
              <w:t>1) 기준 물량: [물량표 참조] (계약단가 첨부)</w:t>
              <w:br/>
              <w:t>2) 물량 증가 및 감소 시 단가 대비 감액 및 증액한다.</w:t>
              <w:br/>
              <w:t>3) 수급자 측 인력의 산재보험 등 4대보험료, 기업이윤은 본 가공 단가 및 계약금액에 포함된 것으로 본다.</w:t>
              <w:br/>
              <w:t>4) 본 계약은 실질적 제조위탁(사급 임가공)이며, 어떠한 현장 내 설치(시공)에도 참여하지 않는다. (일반조건 제3조 참조)</w:t>
              <w:br/>
              <w:t>5) 스크랩 로스율: 기준 O%</w:t>
              <w:br/>
              <w:t>6) 하자보증금률: O% (현금 유보 또는 보증증권 대체 가능)</w:t>
              <w:br/>
              <w:t>7) 지체상금률: 1일당 총 계약금액의 O.O%</w:t>
            </w:r>
          </w:p>
        </w:tc>
      </w:tr>
      <w:tr>
        <w:tc>
          <w:tcPr>
            <w:tcW w:type="dxa" w:w="4320"/>
            <w:vAlign w:val="top"/>
          </w:tcPr>
          <w:p>
            <w:pPr>
              <w:jc w:val="center"/>
            </w:pPr>
            <w:r/>
            <w:r>
              <w:rPr>
                <w:rFonts w:ascii="나눔고딕" w:hAnsi="나눔고딕" w:eastAsia="나눔고딕"/>
                <w:b/>
                <w:sz w:val="18"/>
              </w:rPr>
              <w:t>8. 첨 부 서 류</w:t>
            </w:r>
          </w:p>
        </w:tc>
        <w:tc>
          <w:tcPr>
            <w:tcW w:type="dxa" w:w="4320"/>
            <w:vAlign w:val="top"/>
          </w:tcPr>
          <w:p>
            <w:r/>
            <w:r>
              <w:rPr>
                <w:rFonts w:ascii="나눔고딕" w:hAnsi="나눔고딕" w:eastAsia="나눔고딕"/>
                <w:b w:val="0"/>
                <w:sz w:val="18"/>
              </w:rPr>
              <w:t>1) 세부 가공 단가표 1매</w:t>
              <w:br/>
              <w:t>2) 외주가공(제조위탁) 일반조건 1부 (본 표지 이면 첨부)</w:t>
            </w:r>
          </w:p>
        </w:tc>
      </w:tr>
      <w:tr>
        <w:tc>
          <w:tcPr>
            <w:tcW w:type="dxa" w:w="4320"/>
          </w:tcPr>
          <w:p/>
        </w:tc>
        <w:tc>
          <w:tcPr>
            <w:tcW w:type="dxa" w:w="4320"/>
          </w:tcPr>
          <w:p/>
        </w:tc>
      </w:tr>
      <w:tr>
        <w:tc>
          <w:tcPr>
            <w:tcW w:type="dxa" w:w="4320"/>
          </w:tcPr>
          <w:p/>
        </w:tc>
        <w:tc>
          <w:tcPr>
            <w:tcW w:type="dxa" w:w="4320"/>
          </w:tcPr>
          <w:p/>
        </w:tc>
      </w:tr>
    </w:tbl>
    <w:p/>
    <w:tbl>
      <w:tblPr>
        <w:tblStyle w:val="TableGrid"/>
        <w:tblW w:type="auto" w:w="0"/>
        <w:tblLook w:firstColumn="1" w:firstRow="1" w:lastColumn="0" w:lastRow="0" w:noHBand="0" w:noVBand="1" w:val="04A0"/>
      </w:tblPr>
      <w:tblGrid>
        <w:gridCol w:w="4320"/>
        <w:gridCol w:w="4320"/>
      </w:tblGrid>
      <w:tr>
        <w:tc>
          <w:tcPr>
            <w:tcW w:type="dxa" w:w="4320"/>
            <w:vAlign w:val="top"/>
          </w:tcPr>
          <w:p>
            <w:r/>
            <w:r>
              <w:rPr>
                <w:rFonts w:ascii="나눔고딕" w:hAnsi="나눔고딕" w:eastAsia="나눔고딕"/>
                <w:b w:val="0"/>
                <w:sz w:val="18"/>
              </w:rPr>
              <w:t>[위탁자 / 甲]</w:t>
              <w:br/>
              <w:br/>
              <w:t>상   호 : O O O O (주)</w:t>
              <w:br/>
              <w:t>주   소 :</w:t>
              <w:br/>
              <w:t>대표자 :                   (인)</w:t>
            </w:r>
          </w:p>
        </w:tc>
        <w:tc>
          <w:tcPr>
            <w:tcW w:type="dxa" w:w="4320"/>
            <w:vAlign w:val="top"/>
          </w:tcPr>
          <w:p>
            <w:r/>
            <w:r>
              <w:rPr>
                <w:rFonts w:ascii="나눔고딕" w:hAnsi="나눔고딕" w:eastAsia="나눔고딕"/>
                <w:b w:val="0"/>
                <w:sz w:val="18"/>
              </w:rPr>
              <w:t>[수탁자 / 乙]</w:t>
              <w:br/>
              <w:br/>
              <w:t>상   호 : O O O O (주)</w:t>
              <w:br/>
              <w:t>주   소 :</w:t>
              <w:br/>
              <w:t>대표자 :                   (인)</w:t>
            </w:r>
          </w:p>
        </w:tc>
      </w:tr>
    </w:tbl>
    <w:p/>
    <w:p>
      <w:pPr>
        <w:spacing w:after="40" w:line="320" w:lineRule="exact"/>
      </w:pPr>
      <w:r>
        <w:rPr>
          <w:rFonts w:ascii="나눔고딕" w:hAnsi="나눔고딕" w:eastAsia="나눔고딕"/>
          <w:b w:val="0"/>
          <w:sz w:val="20"/>
        </w:rPr>
        <w:t>[첨부] 외주가공(제조위탁) 일반조건</w:t>
      </w:r>
    </w:p>
    <w:p>
      <w:pPr>
        <w:spacing w:after="40" w:line="320" w:lineRule="exact"/>
      </w:pPr>
    </w:p>
    <w:p>
      <w:pPr>
        <w:spacing w:after="40" w:line="320" w:lineRule="exact"/>
      </w:pPr>
      <w:r>
        <w:rPr>
          <w:rFonts w:ascii="나눔고딕" w:hAnsi="나눔고딕" w:eastAsia="나눔고딕"/>
          <w:b/>
          <w:sz w:val="22"/>
        </w:rPr>
        <w:t>제1조 (목적 및 효력)</w:t>
      </w:r>
    </w:p>
    <w:p>
      <w:pPr>
        <w:spacing w:after="40" w:line="320" w:lineRule="exact"/>
      </w:pPr>
      <w:r>
        <w:rPr>
          <w:rFonts w:ascii="나눔고딕" w:hAnsi="나눔고딕" w:eastAsia="나눔고딕"/>
          <w:b w:val="0"/>
          <w:sz w:val="20"/>
        </w:rPr>
        <w:t>본 일반조건은 앞면 표지에 명시된 위탁자("甲")와 수탁자("乙") 간의 강구조물 부재 사급가공(제조위탁) 계약에 적용되며, 표지와 일체가 되어 계약서로서의 효력을 가진다. 본 계약은 "甲"이 원자재 및 샵드로잉(Shop DWG)을 "乙"에게 지급(사급)하고, "乙"은 자사 공장에서 가공·조립·도장 역무를 수행하여 완성된 부재를 납품하는 제반 사항을 규정함을 목적으로 한다.</w:t>
      </w:r>
    </w:p>
    <w:p>
      <w:pPr>
        <w:spacing w:after="40" w:line="320" w:lineRule="exact"/>
      </w:pPr>
    </w:p>
    <w:p>
      <w:pPr>
        <w:spacing w:after="40" w:line="320" w:lineRule="exact"/>
      </w:pPr>
      <w:r>
        <w:rPr>
          <w:rFonts w:ascii="나눔고딕" w:hAnsi="나눔고딕" w:eastAsia="나눔고딕"/>
          <w:b/>
          <w:sz w:val="22"/>
        </w:rPr>
        <w:t>제2조 (업무의 범위)</w:t>
      </w:r>
    </w:p>
    <w:p>
      <w:pPr>
        <w:spacing w:after="40" w:line="320" w:lineRule="exact"/>
      </w:pPr>
      <w:r>
        <w:rPr>
          <w:rFonts w:ascii="나눔고딕" w:hAnsi="나눔고딕" w:eastAsia="나눔고딕"/>
          <w:b w:val="0"/>
          <w:sz w:val="20"/>
        </w:rPr>
        <w:t>① "乙"이 수행하는 업무 범위는 다음 각 호에 한정한다.</w:t>
      </w:r>
    </w:p>
    <w:p>
      <w:pPr>
        <w:spacing w:after="40" w:line="320" w:lineRule="exact"/>
      </w:pPr>
      <w:r>
        <w:rPr>
          <w:rFonts w:ascii="나눔고딕" w:hAnsi="나눔고딕" w:eastAsia="나눔고딕"/>
          <w:b w:val="0"/>
          <w:sz w:val="20"/>
        </w:rPr>
        <w:t>1. "甲" 지급 자재의 입고·검수·보관</w:t>
      </w:r>
    </w:p>
    <w:p>
      <w:pPr>
        <w:spacing w:after="40" w:line="320" w:lineRule="exact"/>
      </w:pPr>
      <w:r>
        <w:rPr>
          <w:rFonts w:ascii="나눔고딕" w:hAnsi="나눔고딕" w:eastAsia="나눔고딕"/>
          <w:b w:val="0"/>
          <w:sz w:val="20"/>
        </w:rPr>
        <w:t>2. "甲" 지급 샵드로잉(Shop DWG)에 따른 절단(Gas/Plasma/Laser cutting)</w:t>
      </w:r>
    </w:p>
    <w:p>
      <w:pPr>
        <w:spacing w:after="40" w:line="320" w:lineRule="exact"/>
      </w:pPr>
      <w:r>
        <w:rPr>
          <w:rFonts w:ascii="나눔고딕" w:hAnsi="나눔고딕" w:eastAsia="나눔고딕"/>
          <w:b w:val="0"/>
          <w:sz w:val="20"/>
        </w:rPr>
        <w:t>3. 부재의 조립(Fitting) 및 가접(Tack welding)</w:t>
      </w:r>
    </w:p>
    <w:p>
      <w:pPr>
        <w:spacing w:after="40" w:line="320" w:lineRule="exact"/>
      </w:pPr>
      <w:r>
        <w:rPr>
          <w:rFonts w:ascii="나눔고딕" w:hAnsi="나눔고딕" w:eastAsia="나눔고딕"/>
          <w:b w:val="0"/>
          <w:sz w:val="20"/>
        </w:rPr>
        <w:t>4. 본용접(CO₂/SAW/FCAW 등)</w:t>
      </w:r>
    </w:p>
    <w:p>
      <w:pPr>
        <w:spacing w:after="40" w:line="320" w:lineRule="exact"/>
      </w:pPr>
      <w:r>
        <w:rPr>
          <w:rFonts w:ascii="나눔고딕" w:hAnsi="나눔고딕" w:eastAsia="나눔고딕"/>
          <w:b w:val="0"/>
          <w:sz w:val="20"/>
        </w:rPr>
        <w:t>5. 방청도장(1차 프라이머, 중도, 상도)</w:t>
      </w:r>
    </w:p>
    <w:p>
      <w:pPr>
        <w:spacing w:after="40" w:line="320" w:lineRule="exact"/>
      </w:pPr>
      <w:r>
        <w:rPr>
          <w:rFonts w:ascii="나눔고딕" w:hAnsi="나눔고딕" w:eastAsia="나눔고딕"/>
          <w:b w:val="0"/>
          <w:sz w:val="20"/>
        </w:rPr>
        <w:t>6. 완성 부재의 "甲" 지정 목적지 현장까지의 운반·납품(인도)</w:t>
      </w:r>
    </w:p>
    <w:p>
      <w:pPr>
        <w:spacing w:after="40" w:line="320" w:lineRule="exact"/>
      </w:pPr>
      <w:r>
        <w:rPr>
          <w:rFonts w:ascii="나눔고딕" w:hAnsi="나눔고딕" w:eastAsia="나눔고딕"/>
          <w:b w:val="0"/>
          <w:sz w:val="20"/>
        </w:rPr>
        <w:t>② 상기 이외의 업무(설계, 원자재 구매, 건설현장 시공.설치 등)는 "甲"이 별도 수행하며, "乙"의 업무 범위에 포함되지 아니한다.</w:t>
      </w:r>
    </w:p>
    <w:p>
      <w:pPr>
        <w:spacing w:after="40" w:line="320" w:lineRule="exact"/>
      </w:pPr>
    </w:p>
    <w:p>
      <w:pPr>
        <w:spacing w:after="40" w:line="320" w:lineRule="exact"/>
      </w:pPr>
      <w:r>
        <w:rPr>
          <w:rFonts w:ascii="나눔고딕" w:hAnsi="나눔고딕" w:eastAsia="나눔고딕"/>
          <w:b/>
          <w:sz w:val="22"/>
        </w:rPr>
        <w:t>제3조 (시공행위 배제 및 하도급 부인)</w:t>
      </w:r>
    </w:p>
    <w:p>
      <w:pPr>
        <w:spacing w:after="40" w:line="320" w:lineRule="exact"/>
      </w:pPr>
      <w:r>
        <w:rPr>
          <w:rFonts w:ascii="나눔고딕" w:hAnsi="나눔고딕" w:eastAsia="나눔고딕"/>
          <w:b w:val="0"/>
          <w:sz w:val="20"/>
        </w:rPr>
        <w:t>① "乙"은 납품 전후를 불문하고 당해 건설현장 내부에서의 철골 세우기(Erection), 볼팅, 데크플레이트 시공, 현장 용접 등 어떠한 설치 및 건설 시공 행위에도 일절 관여하지 아니한다.</w:t>
      </w:r>
    </w:p>
    <w:p>
      <w:pPr>
        <w:spacing w:after="40" w:line="320" w:lineRule="exact"/>
      </w:pPr>
      <w:r>
        <w:rPr>
          <w:rFonts w:ascii="나눔고딕" w:hAnsi="나눔고딕" w:eastAsia="나눔고딕"/>
          <w:b w:val="0"/>
          <w:sz w:val="20"/>
        </w:rPr>
        <w:t>② 본 계약의 실질은 제조업에 종사하는 "乙"에게 원자재를 지급하여 물품 제조를 위탁하는 [공정거래법상 제조위탁(또는 규범적 물품제조계약)]이며, 건설산업기본법에 의한 [건설공사의 하도급계약]이 아님을 상호 간에 강력히 확인한다.</w:t>
      </w:r>
    </w:p>
    <w:p>
      <w:pPr>
        <w:spacing w:after="40" w:line="320" w:lineRule="exact"/>
      </w:pPr>
      <w:r>
        <w:rPr>
          <w:rFonts w:ascii="나눔고딕" w:hAnsi="나눔고딕" w:eastAsia="나눔고딕"/>
          <w:b w:val="0"/>
          <w:sz w:val="20"/>
        </w:rPr>
        <w:t>③ 본 업무 수행에 적용되는 보충적 기준은 공정거래위원회 제정 '금속업종 표준하도급 기본계약서'를 원칙적으로 준용한다.</w:t>
      </w:r>
    </w:p>
    <w:p>
      <w:pPr>
        <w:spacing w:after="40" w:line="320" w:lineRule="exact"/>
      </w:pPr>
    </w:p>
    <w:p>
      <w:pPr>
        <w:spacing w:after="40" w:line="320" w:lineRule="exact"/>
      </w:pPr>
      <w:r>
        <w:rPr>
          <w:rFonts w:ascii="나눔고딕" w:hAnsi="나눔고딕" w:eastAsia="나눔고딕"/>
          <w:b/>
          <w:sz w:val="22"/>
        </w:rPr>
        <w:t>제4조 (자재 사급 및 보관, 소유권의 보전)</w:t>
      </w:r>
    </w:p>
    <w:p>
      <w:pPr>
        <w:spacing w:after="40" w:line="320" w:lineRule="exact"/>
      </w:pPr>
      <w:r>
        <w:rPr>
          <w:rFonts w:ascii="나눔고딕" w:hAnsi="나눔고딕" w:eastAsia="나눔고딕"/>
          <w:b w:val="0"/>
          <w:sz w:val="20"/>
        </w:rPr>
        <w:t>① "甲"은 가공에 필요한 원자재를 직접 구매하여 "乙"의 공장에 인도하며, 원자재 투입 시 밀시트(Mill Certificate) 등을 함께 제공한다.</w:t>
      </w:r>
    </w:p>
    <w:p>
      <w:pPr>
        <w:spacing w:after="40" w:line="320" w:lineRule="exact"/>
      </w:pPr>
      <w:r>
        <w:rPr>
          <w:rFonts w:ascii="나눔고딕" w:hAnsi="나눔고딕" w:eastAsia="나눔고딕"/>
          <w:b w:val="0"/>
          <w:sz w:val="20"/>
        </w:rPr>
        <w:t>② "乙"은 지급받은 사급재를 선량한 관리자의 주의로 보관하여야 하며, 무단으로 타 용도에 전용할 수 없다.</w:t>
      </w:r>
    </w:p>
    <w:p>
      <w:pPr>
        <w:spacing w:after="40" w:line="320" w:lineRule="exact"/>
      </w:pPr>
      <w:r>
        <w:rPr>
          <w:rFonts w:ascii="나눔고딕" w:hAnsi="나눔고딕" w:eastAsia="나눔고딕"/>
          <w:b w:val="0"/>
          <w:sz w:val="20"/>
        </w:rPr>
        <w:t>③ "乙"은 지급받은 사급재에 대하여 언제나 타인의 자산("乙" 고유의 자산 등)과 섞이지 않도록 분리 보관하고, 이를 입증할 수납/불출 기록을 작성·비치하여야 한다.</w:t>
      </w:r>
    </w:p>
    <w:p>
      <w:pPr>
        <w:spacing w:after="40" w:line="320" w:lineRule="exact"/>
      </w:pPr>
      <w:r>
        <w:rPr>
          <w:rFonts w:ascii="나눔고딕" w:hAnsi="나눔고딕" w:eastAsia="나눔고딕"/>
          <w:b w:val="0"/>
          <w:sz w:val="20"/>
        </w:rPr>
        <w:t>④ "乙"의 파산, 가압류, 소유권 분쟁 시 "乙"은 본건 사급재가 "甲"의 전적인 소유물임을 제3자에게 주장하고 소명할 법적 의무가 있으며, "甲"의 소유권 보전 조치에 즉각 무조건 통보 및 협조(자재 반환 등)하여야 한다.</w:t>
      </w:r>
    </w:p>
    <w:p>
      <w:pPr>
        <w:spacing w:after="40" w:line="320" w:lineRule="exact"/>
      </w:pPr>
    </w:p>
    <w:p>
      <w:pPr>
        <w:spacing w:after="40" w:line="320" w:lineRule="exact"/>
      </w:pPr>
      <w:r>
        <w:rPr>
          <w:rFonts w:ascii="나눔고딕" w:hAnsi="나눔고딕" w:eastAsia="나눔고딕"/>
          <w:b/>
          <w:sz w:val="22"/>
        </w:rPr>
        <w:t>제5조 (로스율(Loss rate) 및 부산물(철스크랩) 정산)</w:t>
      </w:r>
    </w:p>
    <w:p>
      <w:pPr>
        <w:spacing w:after="40" w:line="320" w:lineRule="exact"/>
      </w:pPr>
      <w:r>
        <w:rPr>
          <w:rFonts w:ascii="나눔고딕" w:hAnsi="나눔고딕" w:eastAsia="나눔고딕"/>
          <w:b w:val="0"/>
          <w:sz w:val="20"/>
        </w:rPr>
        <w:t>① "甲"이 지급하는 사급재에 대한 기준 스크랩 로스율은 표지에 명시된 비율로 제한한다.</w:t>
      </w:r>
    </w:p>
    <w:p>
      <w:pPr>
        <w:spacing w:after="40" w:line="320" w:lineRule="exact"/>
      </w:pPr>
      <w:r>
        <w:rPr>
          <w:rFonts w:ascii="나눔고딕" w:hAnsi="나눔고딕" w:eastAsia="나눔고딕"/>
          <w:b w:val="0"/>
          <w:sz w:val="20"/>
        </w:rPr>
        <w:t>② "乙"은 발생한 잉여 부산물(철스크랩)을 전량 매월 지정일까지 "甲"에게 반환(또는 "甲" 지정 계좌로 매각 대금 입금)하여야 한다.</w:t>
      </w:r>
    </w:p>
    <w:p>
      <w:pPr>
        <w:spacing w:after="40" w:line="320" w:lineRule="exact"/>
      </w:pPr>
      <w:r>
        <w:rPr>
          <w:rFonts w:ascii="나눔고딕" w:hAnsi="나눔고딕" w:eastAsia="나눔고딕"/>
          <w:b w:val="0"/>
          <w:sz w:val="20"/>
        </w:rPr>
        <w:t>③ 부산물의 중량이 표지에 명시된 기준 로스율을 초과하여 미달하는 경우, "乙"은 부족분에 해당하는 중량에 대하여 정산 시점의 한국철강협회(또는 상호 합의된 기준) 고시 스크랩 등급 단가를 곱한 금액을 변상("甲"이 기성 대금에서 공제)하여야 한다.</w:t>
      </w:r>
    </w:p>
    <w:p>
      <w:pPr>
        <w:spacing w:after="40" w:line="320" w:lineRule="exact"/>
      </w:pPr>
    </w:p>
    <w:p>
      <w:pPr>
        <w:spacing w:after="40" w:line="320" w:lineRule="exact"/>
      </w:pPr>
      <w:r>
        <w:rPr>
          <w:rFonts w:ascii="나눔고딕" w:hAnsi="나눔고딕" w:eastAsia="나눔고딕"/>
          <w:b/>
          <w:sz w:val="22"/>
        </w:rPr>
        <w:t>제6조 (샵드로잉 지급 및 가공 기준)</w:t>
      </w:r>
    </w:p>
    <w:p>
      <w:pPr>
        <w:spacing w:after="40" w:line="320" w:lineRule="exact"/>
      </w:pPr>
      <w:r>
        <w:rPr>
          <w:rFonts w:ascii="나눔고딕" w:hAnsi="나눔고딕" w:eastAsia="나눔고딕"/>
          <w:b w:val="0"/>
          <w:sz w:val="20"/>
        </w:rPr>
        <w:t>① "甲"이 직접 작성한 샵드로잉(Shop DWG)을 "乙"에게 제공한다.</w:t>
      </w:r>
    </w:p>
    <w:p>
      <w:pPr>
        <w:spacing w:after="40" w:line="320" w:lineRule="exact"/>
      </w:pPr>
      <w:r>
        <w:rPr>
          <w:rFonts w:ascii="나눔고딕" w:hAnsi="나눔고딕" w:eastAsia="나눔고딕"/>
          <w:b w:val="0"/>
          <w:sz w:val="20"/>
        </w:rPr>
        <w:t>② "乙"은 지급받은 도면에 따라 충실히 가공하여야 하며, 도면 오류 발견 시 가공 착수 전에 "甲"에게 서면으로 통보하여 확인을 득하여야 한다.</w:t>
      </w:r>
    </w:p>
    <w:p>
      <w:pPr>
        <w:spacing w:after="40" w:line="320" w:lineRule="exact"/>
      </w:pPr>
      <w:r>
        <w:rPr>
          <w:rFonts w:ascii="나눔고딕" w:hAnsi="나눔고딕" w:eastAsia="나눔고딕"/>
          <w:b w:val="0"/>
          <w:sz w:val="20"/>
        </w:rPr>
        <w:t>③ "甲"은 납품 전 "乙"의 공장에 입회하여 검사를 실시할 수 있으며, "乙"은 협조하여야 한다.</w:t>
      </w:r>
    </w:p>
    <w:p>
      <w:pPr>
        <w:spacing w:after="40" w:line="320" w:lineRule="exact"/>
      </w:pPr>
    </w:p>
    <w:p>
      <w:pPr>
        <w:spacing w:after="40" w:line="320" w:lineRule="exact"/>
      </w:pPr>
      <w:r>
        <w:rPr>
          <w:rFonts w:ascii="나눔고딕" w:hAnsi="나눔고딕" w:eastAsia="나눔고딕"/>
          <w:b/>
          <w:sz w:val="22"/>
        </w:rPr>
        <w:t>제7조 (계약금액 및 지급방법)</w:t>
      </w:r>
    </w:p>
    <w:p>
      <w:pPr>
        <w:spacing w:after="40" w:line="320" w:lineRule="exact"/>
      </w:pPr>
      <w:r>
        <w:rPr>
          <w:rFonts w:ascii="나눔고딕" w:hAnsi="나눔고딕" w:eastAsia="나눔고딕"/>
          <w:b w:val="0"/>
          <w:sz w:val="20"/>
        </w:rPr>
        <w:t>① 본 계약의 대금은 표지에 기재된 바와 같이 가공 대금(인건비+가공경비+이윤+운반비)만으로 산정하며, 자재비는 포함하지 아니한다.</w:t>
      </w:r>
    </w:p>
    <w:p>
      <w:pPr>
        <w:spacing w:after="40" w:line="320" w:lineRule="exact"/>
      </w:pPr>
      <w:r>
        <w:rPr>
          <w:rFonts w:ascii="나눔고딕" w:hAnsi="나눔고딕" w:eastAsia="나눔고딕"/>
          <w:b w:val="0"/>
          <w:sz w:val="20"/>
        </w:rPr>
        <w:t>② 세금계산서 발행 시 품목은 "강구조물 외주가공비"로 기재한다. "현장 설치비", "설치 공사비" 등의 명목으로 기재하여서는 아니 된다.</w:t>
      </w:r>
    </w:p>
    <w:p>
      <w:pPr>
        <w:spacing w:after="40" w:line="320" w:lineRule="exact"/>
      </w:pPr>
      <w:r>
        <w:rPr>
          <w:rFonts w:ascii="나눔고딕" w:hAnsi="나눔고딕" w:eastAsia="나눔고딕"/>
          <w:b w:val="0"/>
          <w:sz w:val="20"/>
        </w:rPr>
        <w:t>③ 대금 지급조건, 하자보증금 유보 명목 및 보증증권 대체 등 제반 결제 사항은 공히 표지에 명시된 바에 따른다.</w:t>
      </w:r>
    </w:p>
    <w:p>
      <w:pPr>
        <w:spacing w:after="40" w:line="320" w:lineRule="exact"/>
      </w:pPr>
    </w:p>
    <w:p>
      <w:pPr>
        <w:spacing w:after="40" w:line="320" w:lineRule="exact"/>
      </w:pPr>
      <w:r>
        <w:rPr>
          <w:rFonts w:ascii="나눔고딕" w:hAnsi="나눔고딕" w:eastAsia="나눔고딕"/>
          <w:b/>
          <w:sz w:val="22"/>
        </w:rPr>
        <w:t>제8조 (검수, 재작업 의무 및 대체 계약)</w:t>
      </w:r>
    </w:p>
    <w:p>
      <w:pPr>
        <w:spacing w:after="40" w:line="320" w:lineRule="exact"/>
      </w:pPr>
      <w:r>
        <w:rPr>
          <w:rFonts w:ascii="나눔고딕" w:hAnsi="나눔고딕" w:eastAsia="나눔고딕"/>
          <w:b w:val="0"/>
          <w:sz w:val="20"/>
        </w:rPr>
        <w:t>① 검수 결과 가공 오류 등 결함 발견 시, "乙"은 통보 후 즉각 전면 재가공하여 납품한다. 재작업 소요 원자재는 "甲"이 지급하되, 그에 따르는 재작업비용(인건비 등) 전액은 "乙"이 자비로 부담한다.</w:t>
      </w:r>
    </w:p>
    <w:p>
      <w:pPr>
        <w:spacing w:after="40" w:line="320" w:lineRule="exact"/>
      </w:pPr>
      <w:r>
        <w:rPr>
          <w:rFonts w:ascii="나눔고딕" w:hAnsi="나눔고딕" w:eastAsia="나눔고딕"/>
          <w:b w:val="0"/>
          <w:sz w:val="20"/>
        </w:rPr>
        <w:t>② "乙"의 정당한 사유 없는 가공 지연, 일방적 작업 중단, 반품 요구 불응 등으로 계약 해지가 불가피할 경우, "甲"은 즉시 제3의 가공업체와 '대체 가공 계약'을 체결할 수 있다. 이로 인해 "甲"이 추가로 지출(기존 계약 단가를 초과하는 부분 포함)한 제조 관련 손해액 일체는 "乙"이 부담한다.</w:t>
      </w:r>
    </w:p>
    <w:p>
      <w:pPr>
        <w:spacing w:after="40" w:line="320" w:lineRule="exact"/>
      </w:pPr>
    </w:p>
    <w:p>
      <w:pPr>
        <w:spacing w:after="40" w:line="320" w:lineRule="exact"/>
      </w:pPr>
      <w:r>
        <w:rPr>
          <w:rFonts w:ascii="나눔고딕" w:hAnsi="나눔고딕" w:eastAsia="나눔고딕"/>
          <w:b/>
          <w:sz w:val="22"/>
        </w:rPr>
        <w:t>제9조 (지체상금 및 해지)</w:t>
      </w:r>
    </w:p>
    <w:p>
      <w:pPr>
        <w:spacing w:after="40" w:line="320" w:lineRule="exact"/>
      </w:pPr>
      <w:r>
        <w:rPr>
          <w:rFonts w:ascii="나눔고딕" w:hAnsi="나눔고딕" w:eastAsia="나눔고딕"/>
          <w:b w:val="0"/>
          <w:sz w:val="20"/>
        </w:rPr>
        <w:t>① "乙"의 귀책으로 납기가 지연될 경우, 지체 1일당 표지에 명시된 비율에 해당하는 지체상금을 부과한다.</w:t>
      </w:r>
    </w:p>
    <w:p>
      <w:pPr>
        <w:spacing w:after="40" w:line="320" w:lineRule="exact"/>
      </w:pPr>
      <w:r>
        <w:rPr>
          <w:rFonts w:ascii="나눔고딕" w:hAnsi="나눔고딕" w:eastAsia="나눔고딕"/>
          <w:b w:val="0"/>
          <w:sz w:val="20"/>
        </w:rPr>
        <w:t>② 다음의 경우 "甲"은 즉시 계약을 해지할 수 있다: 품질 불량 상습발생, 사급재 무단 전용, 무단 공정 중단으로 공기에 심각한 차질을 빚는 경우 등.</w:t>
      </w:r>
    </w:p>
    <w:p>
      <w:pPr>
        <w:spacing w:after="40" w:line="320" w:lineRule="exact"/>
      </w:pPr>
      <w:r>
        <w:rPr>
          <w:rFonts w:ascii="나눔고딕" w:hAnsi="나눔고딕" w:eastAsia="나눔고딕"/>
          <w:b w:val="0"/>
          <w:sz w:val="20"/>
        </w:rPr>
        <w:t>③ 해지 시 "乙"은 공구/자재 일체를 원상 합의 복구하고 미사용 사급재를 전량 반환한다.</w:t>
      </w:r>
    </w:p>
    <w:p>
      <w:pPr>
        <w:spacing w:after="40" w:line="320" w:lineRule="exact"/>
      </w:pPr>
    </w:p>
    <w:p>
      <w:pPr>
        <w:spacing w:after="40" w:line="320" w:lineRule="exact"/>
      </w:pPr>
      <w:r>
        <w:rPr>
          <w:rFonts w:ascii="나눔고딕" w:hAnsi="나눔고딕" w:eastAsia="나눔고딕"/>
          <w:b/>
          <w:sz w:val="22"/>
        </w:rPr>
        <w:t>제10조 (안전보건 및 노동 분쟁 책임)</w:t>
      </w:r>
    </w:p>
    <w:p>
      <w:pPr>
        <w:spacing w:after="40" w:line="320" w:lineRule="exact"/>
      </w:pPr>
      <w:r>
        <w:rPr>
          <w:rFonts w:ascii="나눔고딕" w:hAnsi="나눔고딕" w:eastAsia="나눔고딕"/>
          <w:b w:val="0"/>
          <w:sz w:val="20"/>
        </w:rPr>
        <w:t>"乙"의 공장에서 발생하는 산재, 임금 체불, 노사 분쟁은 전적으로 "乙"의 책임이며, 이로 인해 "甲" 목적 사업에 지장이 초래되면 손해를 전면 배상한다.</w:t>
      </w:r>
    </w:p>
    <w:p>
      <w:pPr>
        <w:spacing w:after="40" w:line="320" w:lineRule="exact"/>
      </w:pPr>
    </w:p>
    <w:p>
      <w:pPr>
        <w:spacing w:after="40" w:line="320" w:lineRule="exact"/>
      </w:pPr>
      <w:r>
        <w:rPr>
          <w:rFonts w:ascii="나눔고딕" w:hAnsi="나눔고딕" w:eastAsia="나눔고딕"/>
          <w:b/>
          <w:sz w:val="22"/>
        </w:rPr>
        <w:t>제11조 (관할 법원)</w:t>
      </w:r>
    </w:p>
    <w:p>
      <w:pPr>
        <w:spacing w:after="40" w:line="320" w:lineRule="exact"/>
      </w:pPr>
      <w:r>
        <w:rPr>
          <w:rFonts w:ascii="나눔고딕" w:hAnsi="나눔고딕" w:eastAsia="나눔고딕"/>
          <w:b w:val="0"/>
          <w:sz w:val="20"/>
        </w:rPr>
        <w:t>분쟁 시 "甲"의 본점 소재지를 관할하는 지방법원을 합의관할법원으로 한다.</w:t>
      </w:r>
    </w:p>
    <w:p>
      <w:r>
        <w:br w:type="page"/>
      </w:r>
    </w:p>
    <w:p>
      <w:pPr>
        <w:pStyle w:val="Heading2"/>
      </w:pPr>
      <w:r>
        <w:rPr>
          <w:rFonts w:ascii="나눔고딕" w:hAnsi="나눔고딕" w:eastAsia="나눔고딕"/>
          <w:b/>
          <w:sz w:val="26"/>
        </w:rPr>
        <w:t>매뉴얼 지침 및 원가 분류 유의사항</w:t>
      </w:r>
    </w:p>
    <w:p>
      <w:pPr>
        <w:spacing w:after="40" w:line="320" w:lineRule="exact"/>
      </w:pPr>
      <w:r>
        <w:rPr>
          <w:rFonts w:ascii="나눔고딕" w:hAnsi="나눔고딕" w:eastAsia="나눔고딕"/>
          <w:b w:val="0"/>
          <w:sz w:val="20"/>
        </w:rPr>
        <w:t>매뉴얼 지침 (A-1과의 핵심 차이): A-1은 매도인이 자재를 직접 구매하여 완성품을 납품하는 물품 매매이고, A-2는 위탁자(전문건설사)가 자재·DWG을 직접 제공하고 가공만 맡기는 가공 도급입니다. 따라서 대금 산정(가공비만), 세금계산서 품목, 원가 분류가 모두 다릅니다. 📌 원가 분류 및 대금 청구 시 유의사항 (A-2):</w:t>
      </w:r>
    </w:p>
    <w:tbl>
      <w:tblPr>
        <w:tblStyle w:val="TableGrid"/>
        <w:tblW w:type="auto" w:w="0"/>
        <w:tblLook w:firstColumn="1" w:firstRow="1" w:lastColumn="0" w:lastRow="0" w:noHBand="0" w:noVBand="1" w:val="04A0"/>
      </w:tblPr>
      <w:tblGrid>
        <w:gridCol w:w="2880"/>
        <w:gridCol w:w="2880"/>
        <w:gridCol w:w="2880"/>
      </w:tblGrid>
      <w:tr>
        <w:tc>
          <w:tcPr>
            <w:tcW w:type="dxa" w:w="2880"/>
            <w:vAlign w:val="top"/>
          </w:tcPr>
          <w:p>
            <w:pPr>
              <w:jc w:val="center"/>
            </w:pPr>
            <w:r/>
            <w:r>
              <w:rPr>
                <w:rFonts w:ascii="나눔고딕" w:hAnsi="나눔고딕" w:eastAsia="나눔고딕"/>
                <w:b/>
                <w:sz w:val="18"/>
              </w:rPr>
              <w:t>원가 항목</w:t>
            </w:r>
          </w:p>
        </w:tc>
        <w:tc>
          <w:tcPr>
            <w:tcW w:type="dxa" w:w="2880"/>
            <w:vAlign w:val="top"/>
          </w:tcPr>
          <w:p>
            <w:pPr>
              <w:jc w:val="center"/>
            </w:pPr>
            <w:r/>
            <w:r>
              <w:rPr>
                <w:rFonts w:ascii="나눔고딕" w:hAnsi="나눔고딕" w:eastAsia="나눔고딕"/>
                <w:b/>
                <w:sz w:val="18"/>
              </w:rPr>
              <w:t>해당</w:t>
            </w:r>
          </w:p>
        </w:tc>
        <w:tc>
          <w:tcPr>
            <w:tcW w:type="dxa" w:w="2880"/>
            <w:vAlign w:val="top"/>
          </w:tcPr>
          <w:p>
            <w:pPr>
              <w:jc w:val="center"/>
            </w:pPr>
            <w:r/>
            <w:r>
              <w:rPr>
                <w:rFonts w:ascii="나눔고딕" w:hAnsi="나눔고딕" w:eastAsia="나눔고딕"/>
                <w:b/>
                <w:sz w:val="18"/>
              </w:rPr>
              <w:t>사유</w:t>
            </w:r>
          </w:p>
        </w:tc>
      </w:tr>
      <w:tr>
        <w:tc>
          <w:tcPr>
            <w:tcW w:type="dxa" w:w="2880"/>
            <w:vAlign w:val="top"/>
          </w:tcPr>
          <w:p>
            <w:r/>
            <w:r>
              <w:rPr>
                <w:rFonts w:ascii="나눔고딕" w:hAnsi="나눔고딕" w:eastAsia="나눔고딕"/>
                <w:b w:val="0"/>
                <w:sz w:val="18"/>
              </w:rPr>
              <w:t>자재비</w:t>
            </w:r>
          </w:p>
        </w:tc>
        <w:tc>
          <w:tcPr>
            <w:tcW w:type="dxa" w:w="2880"/>
            <w:vAlign w:val="top"/>
          </w:tcPr>
          <w:p>
            <w:r/>
            <w:r>
              <w:rPr>
                <w:rFonts w:ascii="나눔고딕" w:hAnsi="나눔고딕" w:eastAsia="나눔고딕"/>
                <w:b w:val="0"/>
                <w:sz w:val="18"/>
              </w:rPr>
              <w:t>❌</w:t>
            </w:r>
          </w:p>
        </w:tc>
        <w:tc>
          <w:tcPr>
            <w:tcW w:type="dxa" w:w="2880"/>
            <w:vAlign w:val="top"/>
          </w:tcPr>
          <w:p>
            <w:r/>
            <w:r>
              <w:rPr>
                <w:rFonts w:ascii="나눔고딕" w:hAnsi="나눔고딕" w:eastAsia="나눔고딕"/>
                <w:b w:val="0"/>
                <w:sz w:val="18"/>
              </w:rPr>
              <w:t>원자재는 위탁자가 별도 구매(이미 자재비로 계상됨)</w:t>
            </w:r>
          </w:p>
        </w:tc>
      </w:tr>
      <w:tr>
        <w:tc>
          <w:tcPr>
            <w:tcW w:type="dxa" w:w="2880"/>
            <w:vAlign w:val="top"/>
          </w:tcPr>
          <w:p>
            <w:r/>
            <w:r>
              <w:rPr>
                <w:rFonts w:ascii="나눔고딕" w:hAnsi="나눔고딕" w:eastAsia="나눔고딕"/>
                <w:b w:val="0"/>
                <w:sz w:val="18"/>
              </w:rPr>
              <w:t>노무비</w:t>
            </w:r>
          </w:p>
        </w:tc>
        <w:tc>
          <w:tcPr>
            <w:tcW w:type="dxa" w:w="2880"/>
            <w:vAlign w:val="top"/>
          </w:tcPr>
          <w:p>
            <w:r/>
            <w:r>
              <w:rPr>
                <w:rFonts w:ascii="나눔고딕" w:hAnsi="나눔고딕" w:eastAsia="나눔고딕"/>
                <w:b w:val="0"/>
                <w:sz w:val="18"/>
              </w:rPr>
              <w:t>❌</w:t>
            </w:r>
          </w:p>
        </w:tc>
        <w:tc>
          <w:tcPr>
            <w:tcW w:type="dxa" w:w="2880"/>
            <w:vAlign w:val="top"/>
          </w:tcPr>
          <w:p>
            <w:r/>
            <w:r>
              <w:rPr>
                <w:rFonts w:ascii="나눔고딕" w:hAnsi="나눔고딕" w:eastAsia="나눔고딕"/>
                <w:b w:val="0"/>
                <w:sz w:val="18"/>
              </w:rPr>
              <w:t>외주 공장 소속 인력 → 위탁자 직접 고용 아님</w:t>
            </w:r>
          </w:p>
        </w:tc>
      </w:tr>
      <w:tr>
        <w:tc>
          <w:tcPr>
            <w:tcW w:type="dxa" w:w="2880"/>
            <w:vAlign w:val="top"/>
          </w:tcPr>
          <w:p>
            <w:r/>
            <w:r>
              <w:rPr>
                <w:rFonts w:ascii="나눔고딕" w:hAnsi="나눔고딕" w:eastAsia="나눔고딕"/>
                <w:b w:val="0"/>
                <w:sz w:val="18"/>
              </w:rPr>
              <w:t>장비비</w:t>
            </w:r>
          </w:p>
        </w:tc>
        <w:tc>
          <w:tcPr>
            <w:tcW w:type="dxa" w:w="2880"/>
            <w:vAlign w:val="top"/>
          </w:tcPr>
          <w:p>
            <w:r/>
            <w:r>
              <w:rPr>
                <w:rFonts w:ascii="나눔고딕" w:hAnsi="나눔고딕" w:eastAsia="나눔고딕"/>
                <w:b w:val="0"/>
                <w:sz w:val="18"/>
              </w:rPr>
              <w:t>❌</w:t>
            </w:r>
          </w:p>
        </w:tc>
        <w:tc>
          <w:tcPr>
            <w:tcW w:type="dxa" w:w="2880"/>
            <w:vAlign w:val="top"/>
          </w:tcPr>
          <w:p>
            <w:r/>
            <w:r>
              <w:rPr>
                <w:rFonts w:ascii="나눔고딕" w:hAnsi="나눔고딕" w:eastAsia="나눔고딕"/>
                <w:b w:val="0"/>
                <w:sz w:val="18"/>
              </w:rPr>
              <w:t>장비를 빌린 것이 아님</w:t>
            </w:r>
          </w:p>
        </w:tc>
      </w:tr>
      <w:tr>
        <w:tc>
          <w:tcPr>
            <w:tcW w:type="dxa" w:w="2880"/>
            <w:vAlign w:val="top"/>
          </w:tcPr>
          <w:p>
            <w:r/>
            <w:r>
              <w:rPr>
                <w:rFonts w:ascii="나눔고딕" w:hAnsi="나눔고딕" w:eastAsia="나눔고딕"/>
                <w:b w:val="0"/>
                <w:sz w:val="18"/>
              </w:rPr>
              <w:t>기타(경비)</w:t>
            </w:r>
          </w:p>
        </w:tc>
        <w:tc>
          <w:tcPr>
            <w:tcW w:type="dxa" w:w="2880"/>
            <w:vAlign w:val="top"/>
          </w:tcPr>
          <w:p>
            <w:r/>
            <w:r>
              <w:rPr>
                <w:rFonts w:ascii="나눔고딕" w:hAnsi="나눔고딕" w:eastAsia="나눔고딕"/>
                <w:b w:val="0"/>
                <w:sz w:val="18"/>
              </w:rPr>
              <w:t>✅</w:t>
            </w:r>
          </w:p>
        </w:tc>
        <w:tc>
          <w:tcPr>
            <w:tcW w:type="dxa" w:w="2880"/>
            <w:vAlign w:val="top"/>
          </w:tcPr>
          <w:p>
            <w:r/>
            <w:r>
              <w:rPr>
                <w:rFonts w:ascii="나눔고딕" w:hAnsi="나눔고딕" w:eastAsia="나눔고딕"/>
                <w:b w:val="0"/>
                <w:sz w:val="18"/>
              </w:rPr>
              <w:t>가공 역무만 외주 → 경비 &gt; 외주가공비</w:t>
            </w:r>
          </w:p>
        </w:tc>
      </w:tr>
    </w:tbl>
    <w:p/>
    <w:p>
      <w:pPr>
        <w:spacing w:after="40" w:line="320" w:lineRule="exact"/>
      </w:pPr>
      <w:r>
        <w:rPr>
          <w:rFonts w:ascii="나눔고딕" w:hAnsi="나눔고딕" w:eastAsia="나눔고딕"/>
          <w:b w:val="0"/>
          <w:sz w:val="20"/>
        </w:rPr>
        <w:t>∴ 노무비닷컴, 하도급지킴이 등에서 대금 청구 시 "기타(경비) → 외주가공비"로 분류하십시오. 세금계산서 품목: "강구조물 외주가공비"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pPr>
    <w:rPr>
      <w:rFonts w:ascii="나눔고딕" w:hAnsi="나눔고딕" w:eastAsia="나눔고딕"/>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