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일용직 근로계약서 (D-2)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일용직 근로계약서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사용자(이하 "甲") O O O O (주)와 근로자(이하 "乙") O O O는 「근로기준법」에 따라 다음과 같이 근로계약을 체결한다.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근 로 현 장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OO신축공사 현장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직종 및 업무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□ 철골 조립공 □ 용접공 □ 보조공 □ 신호수 □ 기타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근 로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공정 완료 시점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임 금 (일급)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일급 금 O O O O O원정 (제세공과금 포함, 세전액)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지급방법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근로자 "乙 본인" 명의 계좌 일괄 이체 절대 준수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(근로계약 기간 및 시간)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계약은 일용 근로단위로 체결된다.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1일 소정근로시간은 8시간 (08:00~17:00, 점심 휴게 1시간 제외)이며 연장근로, 야간근무는 통상임금 기준 가산 지급에 동의한다.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(업무 지시 및 복종)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"乙"의 모든 공정업무는 반드시 "甲" 소속 현장대리인 직접 관리 지휘통제 하에 진행되어야 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(임금의 절대적 본인 지급 원칙)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임금은 "乙" 본인 명의 계좌로 직접 송금한다.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어떠한 경우에도 제3자(반장, 십장 팀장)의 통장으로 위임 이체 수령하거나 재분배 할 수 없다. (근로기준법 43조 통화/직접/전액지불 원칙)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(4대 사회보험 가입)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"甲"은 현장에 출입하는 일용근로자 전원을 대상으로 산재/고용보험 등 법정 요건에 따른 4대보험에 본가입한다.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제5조 (안전보건 의무)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"乙"은 출입 시 안전보건 TBM교육 이수명부 제출, 개인 안전화 벨트 착용 및 지시 순응 조치를 완벽히 따른다.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성립을 증명하기 위하여 쌍방이 서명한 후 각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[사용자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[근로자 / 乙]</w:t>
              <w:br/>
              <w:br/>
              <w:t>성명 : O O O    (인)</w:t>
              <w:br/>
              <w:t>주민등록번호 :</w:t>
              <w:br/>
              <w:t>계좌번호 :          은행</w:t>
              <w:br/>
              <w:t>연락처 :</w:t>
            </w:r>
          </w:p>
        </w:tc>
      </w:tr>
    </w:tbl>
    <w:p/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이 계약서가 모든 방어의 최종 퍼즐입니다. 수사관은 반드시 확인합니다: "근로자 한 명 한 명과 직접 근로계약을 맺었는가? 4대보험은 본사가 가입했는가? 임금은 개인 계좌로 갔는가?" 한 명이라도 빠지면 전체 직영 시공 주장이 무너집니다. 십장(자문역)이 데리고 들어온 조공, 기공도 반드시 전원 본사 명의로 이 계약서를 작성하십시오. 📌 원가 분류 및 대금 청구 시 유의사항 (D-2):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노무비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직접 고용 일용직 근로자 임금 → 노무비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자재비·장비비·기타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직접 고용 임금이므로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노무비닷컴에서 대금 청구 시 "노무비"로 분류하십시오. 임금은 근로자 본인 명의 계좌로 직접 이체하고, 노임대장에 기록, 소득세 원천징수해야 합니다.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