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rFonts w:ascii="나눔고딕" w:hAnsi="나눔고딕" w:eastAsia="나눔고딕"/>
          <w:b/>
          <w:sz w:val="32"/>
        </w:rPr>
        <w:t>화물(강재) 운반 용역계약서 (E-1)</w:t>
      </w:r>
    </w:p>
    <w:p>
      <w:pPr>
        <w:spacing w:after="40" w:line="320" w:lineRule="exact"/>
      </w:pPr>
      <w:r>
        <w:rPr>
          <w:rFonts w:ascii="나눔고딕" w:hAnsi="나눔고딕" w:eastAsia="나눔고딕"/>
          <w:b w:val="0"/>
          <w:sz w:val="20"/>
        </w:rPr>
        <w:t>화물(강재) 운반 용역계약서</w:t>
      </w:r>
    </w:p>
    <w:p>
      <w:pPr>
        <w:spacing w:after="40" w:line="320" w:lineRule="exact"/>
      </w:pPr>
    </w:p>
    <w:p>
      <w:pPr>
        <w:spacing w:after="40" w:line="320" w:lineRule="exact"/>
      </w:pPr>
      <w:r>
        <w:rPr>
          <w:rFonts w:ascii="나눔고딕" w:hAnsi="나눔고딕" w:eastAsia="나눔고딕"/>
          <w:b w:val="0"/>
          <w:sz w:val="20"/>
        </w:rPr>
        <w:t>위탁자(이하 "甲") O O O O (주)와 수탁자(이하 "乙") O O O O (주)는 건설자재 운반에 관하여 다음과 같이 계약한다.</w:t>
      </w:r>
    </w:p>
    <w:tbl>
      <w:tblPr>
        <w:tblStyle w:val="TableGrid"/>
        <w:tblW w:type="auto" w:w="0"/>
        <w:tblLook w:firstColumn="1" w:firstRow="1" w:lastColumn="0" w:lastRow="0" w:noHBand="0" w:noVBand="1" w:val="04A0"/>
      </w:tblPr>
      <w:tblGrid>
        <w:gridCol w:w="4320"/>
        <w:gridCol w:w="4320"/>
      </w:tblGrid>
      <w:tr>
        <w:tc>
          <w:tcPr>
            <w:tcW w:type="dxa" w:w="4320"/>
            <w:vAlign w:val="top"/>
          </w:tcPr>
          <w:p>
            <w:pPr>
              <w:jc w:val="center"/>
            </w:pPr>
            <w:r/>
            <w:r>
              <w:rPr>
                <w:rFonts w:ascii="나눔고딕" w:hAnsi="나눔고딕" w:eastAsia="나눔고딕"/>
                <w:b/>
                <w:sz w:val="18"/>
              </w:rPr>
              <w:t>1. 상 차 및 하 차 지</w:t>
            </w:r>
          </w:p>
        </w:tc>
        <w:tc>
          <w:tcPr>
            <w:tcW w:type="dxa" w:w="4320"/>
            <w:vAlign w:val="top"/>
          </w:tcPr>
          <w:p>
            <w:r/>
            <w:r>
              <w:rPr>
                <w:rFonts w:ascii="나눔고딕" w:hAnsi="나눔고딕" w:eastAsia="나눔고딕"/>
                <w:b w:val="0"/>
                <w:sz w:val="18"/>
              </w:rPr>
              <w:t>상차: [ OO공장 ] / 하차: [ OO신축공사 현장 ]</w:t>
            </w:r>
          </w:p>
        </w:tc>
      </w:tr>
      <w:tr>
        <w:tc>
          <w:tcPr>
            <w:tcW w:type="dxa" w:w="4320"/>
            <w:vAlign w:val="top"/>
          </w:tcPr>
          <w:p>
            <w:pPr>
              <w:jc w:val="center"/>
            </w:pPr>
            <w:r/>
            <w:r>
              <w:rPr>
                <w:rFonts w:ascii="나눔고딕" w:hAnsi="나눔고딕" w:eastAsia="나눔고딕"/>
                <w:b/>
                <w:sz w:val="18"/>
              </w:rPr>
              <w:t>2. 운 송 품 목</w:t>
            </w:r>
          </w:p>
        </w:tc>
        <w:tc>
          <w:tcPr>
            <w:tcW w:type="dxa" w:w="4320"/>
            <w:vAlign w:val="top"/>
          </w:tcPr>
          <w:p>
            <w:r/>
            <w:r>
              <w:rPr>
                <w:rFonts w:ascii="나눔고딕" w:hAnsi="나눔고딕" w:eastAsia="나눔고딕"/>
                <w:b w:val="0"/>
                <w:sz w:val="18"/>
              </w:rPr>
              <w:t>강구조물(철골) 부재 및 기타 부자재 일체</w:t>
            </w:r>
          </w:p>
        </w:tc>
      </w:tr>
      <w:tr>
        <w:tc>
          <w:tcPr>
            <w:tcW w:type="dxa" w:w="4320"/>
            <w:vAlign w:val="top"/>
          </w:tcPr>
          <w:p>
            <w:pPr>
              <w:jc w:val="center"/>
            </w:pPr>
            <w:r/>
            <w:r>
              <w:rPr>
                <w:rFonts w:ascii="나눔고딕" w:hAnsi="나눔고딕" w:eastAsia="나눔고딕"/>
                <w:b/>
                <w:sz w:val="18"/>
              </w:rPr>
              <w:t>3. 운 송 기 간</w:t>
            </w:r>
          </w:p>
        </w:tc>
        <w:tc>
          <w:tcPr>
            <w:tcW w:type="dxa" w:w="4320"/>
            <w:vAlign w:val="top"/>
          </w:tcPr>
          <w:p>
            <w:r/>
            <w:r>
              <w:rPr>
                <w:rFonts w:ascii="나눔고딕" w:hAnsi="나눔고딕" w:eastAsia="나눔고딕"/>
                <w:b w:val="0"/>
                <w:sz w:val="18"/>
              </w:rPr>
              <w:t>202X년 X월 X일 ~ 공정 완료(철수) 시까지</w:t>
            </w:r>
          </w:p>
        </w:tc>
      </w:tr>
      <w:tr>
        <w:tc>
          <w:tcPr>
            <w:tcW w:type="dxa" w:w="4320"/>
            <w:vAlign w:val="top"/>
          </w:tcPr>
          <w:p>
            <w:pPr>
              <w:jc w:val="center"/>
            </w:pPr>
            <w:r/>
            <w:r>
              <w:rPr>
                <w:rFonts w:ascii="나눔고딕" w:hAnsi="나눔고딕" w:eastAsia="나눔고딕"/>
                <w:b/>
                <w:sz w:val="18"/>
              </w:rPr>
              <w:t>4. 운 임 (단가/총액)</w:t>
            </w:r>
          </w:p>
        </w:tc>
        <w:tc>
          <w:tcPr>
            <w:tcW w:type="dxa" w:w="4320"/>
            <w:vAlign w:val="top"/>
          </w:tcPr>
          <w:p>
            <w:r/>
            <w:r>
              <w:rPr>
                <w:rFonts w:ascii="나눔고딕" w:hAnsi="나눔고딕" w:eastAsia="나눔고딕"/>
                <w:b w:val="0"/>
                <w:sz w:val="18"/>
              </w:rPr>
              <w:t>1대당 단가: 금 O O O O원 (또는 톤당 금 O O O원)</w:t>
            </w:r>
          </w:p>
        </w:tc>
      </w:tr>
      <w:tr>
        <w:tc>
          <w:tcPr>
            <w:tcW w:type="dxa" w:w="4320"/>
            <w:vAlign w:val="top"/>
          </w:tcPr>
          <w:p>
            <w:pPr>
              <w:jc w:val="center"/>
            </w:pPr>
            <w:r/>
            <w:r>
              <w:rPr>
                <w:rFonts w:ascii="나눔고딕" w:hAnsi="나눔고딕" w:eastAsia="나눔고딕"/>
                <w:b/>
                <w:sz w:val="18"/>
              </w:rPr>
              <w:t>5. 결 제 조 건</w:t>
            </w:r>
          </w:p>
        </w:tc>
        <w:tc>
          <w:tcPr>
            <w:tcW w:type="dxa" w:w="4320"/>
            <w:vAlign w:val="top"/>
          </w:tcPr>
          <w:p>
            <w:r/>
            <w:r>
              <w:rPr>
                <w:rFonts w:ascii="나눔고딕" w:hAnsi="나눔고딕" w:eastAsia="나눔고딕"/>
                <w:b w:val="0"/>
                <w:sz w:val="18"/>
              </w:rPr>
              <w:t>월말 실적 정산 익월 15일 현금 / 품목: "강자재 운반비"</w:t>
            </w:r>
          </w:p>
        </w:tc>
      </w:tr>
    </w:tbl>
    <w:p/>
    <w:p>
      <w:pPr>
        <w:spacing w:after="40" w:line="320" w:lineRule="exact"/>
      </w:pPr>
      <w:r>
        <w:rPr>
          <w:rFonts w:ascii="나눔고딕" w:hAnsi="나눔고딕" w:eastAsia="나눔고딕"/>
          <w:b/>
          <w:sz w:val="22"/>
        </w:rPr>
        <w:t>제1조 (목적)</w:t>
      </w:r>
    </w:p>
    <w:p>
      <w:pPr>
        <w:spacing w:after="40" w:line="320" w:lineRule="exact"/>
      </w:pPr>
      <w:r>
        <w:rPr>
          <w:rFonts w:ascii="나눔고딕" w:hAnsi="나눔고딕" w:eastAsia="나눔고딕"/>
          <w:b w:val="0"/>
          <w:sz w:val="20"/>
        </w:rPr>
        <w:t>본 계약은 "甲"이 발주한 철골 부재를 제작공장(출발지)에서 지정된 현장(도착지)까지 완전하게 운반·인도하는 용역 조건을 정함을 목적으로 한다.</w:t>
      </w:r>
    </w:p>
    <w:p>
      <w:pPr>
        <w:spacing w:after="40" w:line="320" w:lineRule="exact"/>
      </w:pPr>
    </w:p>
    <w:p>
      <w:pPr>
        <w:spacing w:after="40" w:line="320" w:lineRule="exact"/>
      </w:pPr>
      <w:r>
        <w:rPr>
          <w:rFonts w:ascii="나눔고딕" w:hAnsi="나눔고딕" w:eastAsia="나눔고딕"/>
          <w:b/>
          <w:sz w:val="22"/>
        </w:rPr>
        <w:t>제2조 (운반의 범위 및 시공행위 배제)</w:t>
      </w:r>
    </w:p>
    <w:p>
      <w:pPr>
        <w:spacing w:after="40" w:line="320" w:lineRule="exact"/>
      </w:pPr>
      <w:r>
        <w:rPr>
          <w:rFonts w:ascii="나눔고딕" w:hAnsi="나눔고딕" w:eastAsia="나눔고딕"/>
          <w:b w:val="0"/>
          <w:sz w:val="20"/>
        </w:rPr>
        <w:t>① "乙"은 지정 하역장에 하차(下車)하는 것으로 종결하며, 운송 후 현장 내 크레인 인양 조작, 자재 배열, 시공 행위 등에 일절 관여하지 않는다. 자재 이동 및 설치는 "甲"의 직영으로 이뤄진다.</w:t>
      </w:r>
    </w:p>
    <w:p>
      <w:pPr>
        <w:spacing w:after="40" w:line="320" w:lineRule="exact"/>
      </w:pPr>
      <w:r>
        <w:rPr>
          <w:rFonts w:ascii="나눔고딕" w:hAnsi="나눔고딕" w:eastAsia="나눔고딕"/>
          <w:b w:val="0"/>
          <w:sz w:val="20"/>
        </w:rPr>
        <w:t>② 본 계약은 상법 제125조에 따른 육상운송계약이며 도급 하도급이 아님을 분명히 한다.</w:t>
      </w:r>
    </w:p>
    <w:p>
      <w:pPr>
        <w:spacing w:after="40" w:line="320" w:lineRule="exact"/>
      </w:pPr>
    </w:p>
    <w:p>
      <w:pPr>
        <w:spacing w:after="40" w:line="320" w:lineRule="exact"/>
      </w:pPr>
      <w:r>
        <w:rPr>
          <w:rFonts w:ascii="나눔고딕" w:hAnsi="나눔고딕" w:eastAsia="나눔고딕"/>
          <w:b/>
          <w:sz w:val="22"/>
        </w:rPr>
        <w:t>제3조 (운반 대금 및 세무 처리)</w:t>
      </w:r>
    </w:p>
    <w:p>
      <w:pPr>
        <w:spacing w:after="40" w:line="320" w:lineRule="exact"/>
      </w:pPr>
      <w:r>
        <w:rPr>
          <w:rFonts w:ascii="나눔고딕" w:hAnsi="나눔고딕" w:eastAsia="나눔고딕"/>
          <w:b w:val="0"/>
          <w:sz w:val="20"/>
        </w:rPr>
        <w:t>세금계산서 품목 명칭은 필히 "강구조물(철골) 자재 운반비"로 기재하며 "시공비"나 "설치비" 명목으로 발행치 아니한다.</w:t>
      </w:r>
    </w:p>
    <w:p>
      <w:pPr>
        <w:spacing w:after="40" w:line="320" w:lineRule="exact"/>
      </w:pPr>
    </w:p>
    <w:p>
      <w:pPr>
        <w:spacing w:after="40" w:line="320" w:lineRule="exact"/>
      </w:pPr>
      <w:r>
        <w:rPr>
          <w:rFonts w:ascii="나눔고딕" w:hAnsi="나눔고딕" w:eastAsia="나눔고딕"/>
          <w:b/>
          <w:sz w:val="22"/>
        </w:rPr>
        <w:t>제4조 (운송 중 위험 부담 및 보험)</w:t>
      </w:r>
    </w:p>
    <w:p>
      <w:pPr>
        <w:spacing w:after="40" w:line="320" w:lineRule="exact"/>
      </w:pPr>
      <w:r>
        <w:rPr>
          <w:rFonts w:ascii="나눔고딕" w:hAnsi="나눔고딕" w:eastAsia="나눔고딕"/>
          <w:b w:val="0"/>
          <w:sz w:val="20"/>
        </w:rPr>
        <w:t>① "乙"은 운송 중 적재물의 탈락, 파손, 사고 등에 대비하여 적재물 배상책임보험 및 자동차 종합보험에 의무 가입하고 이에 대한 민형사 책임을 100% 진다.</w:t>
      </w:r>
    </w:p>
    <w:p>
      <w:pPr>
        <w:spacing w:after="40" w:line="320" w:lineRule="exact"/>
      </w:pPr>
      <w:r>
        <w:rPr>
          <w:rFonts w:ascii="나눔고딕" w:hAnsi="나눔고딕" w:eastAsia="나눔고딕"/>
          <w:b w:val="0"/>
          <w:sz w:val="20"/>
        </w:rPr>
        <w:t>② 과적 및 법규 위반 책임은 전적으로 "乙"에게 귀속된다.</w:t>
      </w:r>
    </w:p>
    <w:p>
      <w:pPr>
        <w:spacing w:after="40" w:line="320" w:lineRule="exact"/>
      </w:pPr>
    </w:p>
    <w:p>
      <w:pPr>
        <w:spacing w:after="40" w:line="320" w:lineRule="exact"/>
      </w:pPr>
      <w:r>
        <w:rPr>
          <w:rFonts w:ascii="나눔고딕" w:hAnsi="나눔고딕" w:eastAsia="나눔고딕"/>
          <w:b/>
          <w:sz w:val="22"/>
        </w:rPr>
        <w:t>제5조 (계약의 해지)</w:t>
      </w:r>
    </w:p>
    <w:p>
      <w:pPr>
        <w:spacing w:after="40" w:line="320" w:lineRule="exact"/>
      </w:pPr>
      <w:r>
        <w:rPr>
          <w:rFonts w:ascii="나눔고딕" w:hAnsi="나눔고딕" w:eastAsia="나눔고딕"/>
          <w:b w:val="0"/>
          <w:sz w:val="20"/>
        </w:rPr>
        <w:t>과적 적발, 상습적 시간 지연 시 "甲"은 서면 통보 후 즉시 해지하고 실 운반 횟수만으로 일할 정산한다.</w:t>
      </w:r>
    </w:p>
    <w:p>
      <w:pPr>
        <w:spacing w:after="40" w:line="320" w:lineRule="exact"/>
      </w:pPr>
    </w:p>
    <w:p>
      <w:pPr>
        <w:spacing w:after="40" w:line="320" w:lineRule="exact"/>
      </w:pPr>
      <w:r>
        <w:rPr>
          <w:rFonts w:ascii="나눔고딕" w:hAnsi="나눔고딕" w:eastAsia="나눔고딕"/>
          <w:b/>
          <w:sz w:val="22"/>
        </w:rPr>
        <w:t>부 칙</w:t>
      </w:r>
    </w:p>
    <w:p>
      <w:pPr>
        <w:spacing w:after="40" w:line="320" w:lineRule="exact"/>
      </w:pPr>
      <w:r>
        <w:rPr>
          <w:rFonts w:ascii="나눔고딕" w:hAnsi="나눔고딕" w:eastAsia="나눔고딕"/>
          <w:b w:val="0"/>
          <w:sz w:val="20"/>
        </w:rPr>
        <w:t>본 계약의 성립을 증명하기 위하여 본서 2부를 작성하고, 쌍방이 기명날인한 후 각 1부씩 보관한다.</w:t>
      </w:r>
    </w:p>
    <w:p>
      <w:pPr>
        <w:spacing w:after="40" w:line="320" w:lineRule="exact"/>
      </w:pPr>
    </w:p>
    <w:p>
      <w:pPr>
        <w:spacing w:after="40" w:line="320" w:lineRule="exact"/>
      </w:pPr>
      <w:r>
        <w:rPr>
          <w:rFonts w:ascii="나눔고딕" w:hAnsi="나눔고딕" w:eastAsia="나눔고딕"/>
          <w:b w:val="0"/>
          <w:sz w:val="20"/>
        </w:rPr>
        <w:t>년      월      일</w:t>
      </w:r>
    </w:p>
    <w:tbl>
      <w:tblPr>
        <w:tblStyle w:val="TableGrid"/>
        <w:tblW w:type="auto" w:w="0"/>
        <w:tblLook w:firstColumn="1" w:firstRow="1" w:lastColumn="0" w:lastRow="0" w:noHBand="0" w:noVBand="1" w:val="04A0"/>
      </w:tblPr>
      <w:tblGrid>
        <w:gridCol w:w="4320"/>
        <w:gridCol w:w="4320"/>
      </w:tblGrid>
      <w:tr>
        <w:tc>
          <w:tcPr>
            <w:tcW w:type="dxa" w:w="4320"/>
            <w:vAlign w:val="top"/>
          </w:tcPr>
          <w:p>
            <w:r/>
            <w:r>
              <w:rPr>
                <w:rFonts w:ascii="나눔고딕" w:hAnsi="나눔고딕" w:eastAsia="나눔고딕"/>
                <w:b w:val="0"/>
                <w:sz w:val="18"/>
              </w:rPr>
              <w:t>[위탁자 / 甲]</w:t>
              <w:br/>
              <w:br/>
              <w:t>상   호 : O O O O (주)</w:t>
              <w:br/>
              <w:t>주   소 :</w:t>
              <w:br/>
              <w:t>대표자 :                   (인)</w:t>
              <w:br/>
              <w:t>연락처 :</w:t>
            </w:r>
          </w:p>
        </w:tc>
        <w:tc>
          <w:tcPr>
            <w:tcW w:type="dxa" w:w="4320"/>
            <w:vAlign w:val="top"/>
          </w:tcPr>
          <w:p>
            <w:r/>
            <w:r>
              <w:rPr>
                <w:rFonts w:ascii="나눔고딕" w:hAnsi="나눔고딕" w:eastAsia="나눔고딕"/>
                <w:b w:val="0"/>
                <w:sz w:val="18"/>
              </w:rPr>
              <w:t>[수탁자 / 乙]</w:t>
              <w:br/>
              <w:br/>
              <w:t>상   호 : O O O O 운수(주)</w:t>
              <w:br/>
              <w:t>주   소 :</w:t>
              <w:br/>
              <w:t>대표자 :                   (인)</w:t>
              <w:br/>
              <w:t>연락처 :</w:t>
            </w:r>
          </w:p>
        </w:tc>
      </w:tr>
    </w:tbl>
    <w:p/>
    <w:p>
      <w:r>
        <w:br w:type="page"/>
      </w:r>
    </w:p>
    <w:p>
      <w:pPr>
        <w:pStyle w:val="Heading2"/>
      </w:pPr>
      <w:r>
        <w:rPr>
          <w:rFonts w:ascii="나눔고딕" w:hAnsi="나눔고딕" w:eastAsia="나눔고딕"/>
          <w:b/>
          <w:sz w:val="26"/>
        </w:rPr>
        <w:t>매뉴얼 지침 및 원가 분류 유의사항</w:t>
      </w:r>
    </w:p>
    <w:p>
      <w:pPr>
        <w:spacing w:after="40" w:line="320" w:lineRule="exact"/>
      </w:pPr>
      <w:r>
        <w:rPr>
          <w:rFonts w:ascii="나눔고딕" w:hAnsi="나눔고딕" w:eastAsia="나눔고딕"/>
          <w:b w:val="0"/>
          <w:sz w:val="20"/>
        </w:rPr>
        <w:t>매뉴얼 지침: 운반업체 기사가 현장에서 크레인 신호를 보거나, 자재를 직접 양중·배치하는 행위를 하면 건설 시공 참여로 간주됩니다. 운반업체 차량은 하차 완료 즉시 현장을 이탈시키십시오. 또한 세금계산서도 "자재 운반비"로만 기재하고, "설치비"나 "시공비"로 끊으면 하도급 증거가 됩니다. 📌 원가 분류 및 대금 청구 시 유의사항 (E-1):</w:t>
      </w:r>
    </w:p>
    <w:tbl>
      <w:tblPr>
        <w:tblStyle w:val="TableGrid"/>
        <w:tblW w:type="auto" w:w="0"/>
        <w:tblLook w:firstColumn="1" w:firstRow="1" w:lastColumn="0" w:lastRow="0" w:noHBand="0" w:noVBand="1" w:val="04A0"/>
      </w:tblPr>
      <w:tblGrid>
        <w:gridCol w:w="2880"/>
        <w:gridCol w:w="2880"/>
        <w:gridCol w:w="2880"/>
      </w:tblGrid>
      <w:tr>
        <w:tc>
          <w:tcPr>
            <w:tcW w:type="dxa" w:w="2880"/>
            <w:vAlign w:val="top"/>
          </w:tcPr>
          <w:p>
            <w:pPr>
              <w:jc w:val="center"/>
            </w:pPr>
            <w:r/>
            <w:r>
              <w:rPr>
                <w:rFonts w:ascii="나눔고딕" w:hAnsi="나눔고딕" w:eastAsia="나눔고딕"/>
                <w:b/>
                <w:sz w:val="18"/>
              </w:rPr>
              <w:t>원가 항목</w:t>
            </w:r>
          </w:p>
        </w:tc>
        <w:tc>
          <w:tcPr>
            <w:tcW w:type="dxa" w:w="2880"/>
            <w:vAlign w:val="top"/>
          </w:tcPr>
          <w:p>
            <w:pPr>
              <w:jc w:val="center"/>
            </w:pPr>
            <w:r/>
            <w:r>
              <w:rPr>
                <w:rFonts w:ascii="나눔고딕" w:hAnsi="나눔고딕" w:eastAsia="나눔고딕"/>
                <w:b/>
                <w:sz w:val="18"/>
              </w:rPr>
              <w:t>해당</w:t>
            </w:r>
          </w:p>
        </w:tc>
        <w:tc>
          <w:tcPr>
            <w:tcW w:type="dxa" w:w="2880"/>
            <w:vAlign w:val="top"/>
          </w:tcPr>
          <w:p>
            <w:pPr>
              <w:jc w:val="center"/>
            </w:pPr>
            <w:r/>
            <w:r>
              <w:rPr>
                <w:rFonts w:ascii="나눔고딕" w:hAnsi="나눔고딕" w:eastAsia="나눔고딕"/>
                <w:b/>
                <w:sz w:val="18"/>
              </w:rPr>
              <w:t>사유</w:t>
            </w:r>
          </w:p>
        </w:tc>
      </w:tr>
      <w:tr>
        <w:tc>
          <w:tcPr>
            <w:tcW w:type="dxa" w:w="2880"/>
            <w:vAlign w:val="top"/>
          </w:tcPr>
          <w:p>
            <w:r/>
            <w:r>
              <w:rPr>
                <w:rFonts w:ascii="나눔고딕" w:hAnsi="나눔고딕" w:eastAsia="나눔고딕"/>
                <w:b w:val="0"/>
                <w:sz w:val="18"/>
              </w:rPr>
              <w:t>기타(경비)</w:t>
            </w:r>
          </w:p>
        </w:tc>
        <w:tc>
          <w:tcPr>
            <w:tcW w:type="dxa" w:w="2880"/>
            <w:vAlign w:val="top"/>
          </w:tcPr>
          <w:p>
            <w:r/>
            <w:r>
              <w:rPr>
                <w:rFonts w:ascii="나눔고딕" w:hAnsi="나눔고딕" w:eastAsia="나눔고딕"/>
                <w:b w:val="0"/>
                <w:sz w:val="18"/>
              </w:rPr>
              <w:t>✅</w:t>
            </w:r>
          </w:p>
        </w:tc>
        <w:tc>
          <w:tcPr>
            <w:tcW w:type="dxa" w:w="2880"/>
            <w:vAlign w:val="top"/>
          </w:tcPr>
          <w:p>
            <w:r/>
            <w:r>
              <w:rPr>
                <w:rFonts w:ascii="나눔고딕" w:hAnsi="나눔고딕" w:eastAsia="나눔고딕"/>
                <w:b w:val="0"/>
                <w:sz w:val="18"/>
              </w:rPr>
              <w:t>화물 운송 용역 → 경비 &gt; 운반비</w:t>
            </w:r>
          </w:p>
        </w:tc>
      </w:tr>
      <w:tr>
        <w:tc>
          <w:tcPr>
            <w:tcW w:type="dxa" w:w="2880"/>
            <w:vAlign w:val="top"/>
          </w:tcPr>
          <w:p>
            <w:r/>
            <w:r>
              <w:rPr>
                <w:rFonts w:ascii="나눔고딕" w:hAnsi="나눔고딕" w:eastAsia="나눔고딕"/>
                <w:b w:val="0"/>
                <w:sz w:val="18"/>
              </w:rPr>
              <w:t>자재비·노무비·장비비</w:t>
            </w:r>
          </w:p>
        </w:tc>
        <w:tc>
          <w:tcPr>
            <w:tcW w:type="dxa" w:w="2880"/>
            <w:vAlign w:val="top"/>
          </w:tcPr>
          <w:p>
            <w:r/>
            <w:r>
              <w:rPr>
                <w:rFonts w:ascii="나눔고딕" w:hAnsi="나눔고딕" w:eastAsia="나눔고딕"/>
                <w:b w:val="0"/>
                <w:sz w:val="18"/>
              </w:rPr>
              <w:t>❌</w:t>
            </w:r>
          </w:p>
        </w:tc>
        <w:tc>
          <w:tcPr>
            <w:tcW w:type="dxa" w:w="2880"/>
            <w:vAlign w:val="top"/>
          </w:tcPr>
          <w:p>
            <w:r/>
            <w:r>
              <w:rPr>
                <w:rFonts w:ascii="나눔고딕" w:hAnsi="나눔고딕" w:eastAsia="나눔고딕"/>
                <w:b w:val="0"/>
                <w:sz w:val="18"/>
              </w:rPr>
              <w:t>순수 운송 용역이므로 해당 없음</w:t>
            </w:r>
          </w:p>
        </w:tc>
      </w:tr>
    </w:tbl>
    <w:p/>
    <w:p>
      <w:pPr>
        <w:spacing w:after="40" w:line="320" w:lineRule="exact"/>
      </w:pPr>
      <w:r>
        <w:rPr>
          <w:rFonts w:ascii="나눔고딕" w:hAnsi="나눔고딕" w:eastAsia="나눔고딕"/>
          <w:b w:val="0"/>
          <w:sz w:val="20"/>
        </w:rPr>
        <w:t>∴ 노무비닷컴, 하도급지킴이 등에서 대금 청구 시 "기타(경비) → 운반비"로 분류하십시오. 세금계산서 품목: "강구조물(철골) 자재 운반비"</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pPr>
    <w:rPr>
      <w:rFonts w:ascii="나눔고딕" w:hAnsi="나눔고딕" w:eastAsia="나눔고딕"/>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